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901D9" w:rsidP="00407DAF">
      <w:pPr>
        <w:pStyle w:val="a3"/>
        <w:keepNext/>
        <w:keepLines/>
        <w:jc w:val="center"/>
      </w:pPr>
      <w:r w:rsidRPr="000C4D08">
        <w:t>РОССТАТ</w:t>
      </w:r>
    </w:p>
    <w:p w:rsidR="008F2BAA" w:rsidRPr="000C4D08" w:rsidRDefault="004901D9" w:rsidP="00407DAF">
      <w:pPr>
        <w:pStyle w:val="a3"/>
        <w:keepNext/>
        <w:keepLines/>
        <w:jc w:val="center"/>
      </w:pPr>
    </w:p>
    <w:p w:rsidR="00407DAF" w:rsidRDefault="004901D9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901D9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901D9" w:rsidP="00407DAF">
      <w:pPr>
        <w:keepNext/>
        <w:keepLines/>
        <w:jc w:val="center"/>
        <w:rPr>
          <w:sz w:val="28"/>
        </w:rPr>
      </w:pPr>
    </w:p>
    <w:p w:rsidR="0003642B" w:rsidRDefault="004901D9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C6769" w:rsidRDefault="004901D9" w:rsidP="0003642B">
      <w:pPr>
        <w:jc w:val="center"/>
        <w:rPr>
          <w:b/>
          <w:sz w:val="28"/>
        </w:rPr>
      </w:pPr>
    </w:p>
    <w:p w:rsidR="00BE10F7" w:rsidRPr="008F2BAA" w:rsidRDefault="004901D9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8F2BAA">
        <w:rPr>
          <w:rFonts w:ascii="Arial" w:hAnsi="Arial" w:cs="Arial"/>
          <w:b/>
          <w:sz w:val="28"/>
          <w:szCs w:val="28"/>
        </w:rPr>
        <w:t xml:space="preserve">Дифференциация заработной платы в </w:t>
      </w:r>
      <w:r>
        <w:rPr>
          <w:rFonts w:ascii="Arial" w:hAnsi="Arial" w:cs="Arial"/>
          <w:b/>
          <w:sz w:val="28"/>
          <w:szCs w:val="28"/>
        </w:rPr>
        <w:t>Республике Хакасия</w:t>
      </w:r>
      <w:r w:rsidRPr="008F2BAA">
        <w:rPr>
          <w:rFonts w:ascii="Arial" w:hAnsi="Arial" w:cs="Arial"/>
          <w:b/>
          <w:sz w:val="28"/>
          <w:szCs w:val="28"/>
        </w:rPr>
        <w:br/>
        <w:t>по профессиональным группам работников</w:t>
      </w:r>
      <w:r>
        <w:rPr>
          <w:rFonts w:ascii="Arial" w:hAnsi="Arial" w:cs="Arial"/>
          <w:b/>
          <w:sz w:val="28"/>
          <w:szCs w:val="28"/>
        </w:rPr>
        <w:t xml:space="preserve"> в 2019 году</w:t>
      </w:r>
      <w:r w:rsidRPr="008F2BA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EF0E0C" w:rsidRDefault="004901D9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6108E4" w:rsidRDefault="006108E4" w:rsidP="00020294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108E4" w:rsidTr="006108E4">
        <w:tc>
          <w:tcPr>
            <w:tcW w:w="4927" w:type="dxa"/>
          </w:tcPr>
          <w:p w:rsidR="006108E4" w:rsidRDefault="006108E4" w:rsidP="0061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4927" w:type="dxa"/>
          </w:tcPr>
          <w:p w:rsidR="006108E4" w:rsidRPr="006108E4" w:rsidRDefault="006108E4" w:rsidP="006108E4">
            <w:pPr>
              <w:jc w:val="right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6108E4" w:rsidRDefault="006108E4" w:rsidP="00020294">
      <w:pPr>
        <w:jc w:val="center"/>
        <w:rPr>
          <w:sz w:val="24"/>
          <w:szCs w:val="24"/>
        </w:rPr>
      </w:pPr>
    </w:p>
    <w:p w:rsidR="00BE10F7" w:rsidRPr="00B96427" w:rsidRDefault="004901D9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анализа заработной платы работников по категориям персонала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 xml:space="preserve">и профессиональным группам работников </w:t>
      </w:r>
      <w:r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2-3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 по отдельным видам экономической деятельности.</w:t>
      </w:r>
    </w:p>
    <w:p w:rsidR="00E8650D" w:rsidRDefault="004901D9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обследованию</w:t>
      </w:r>
      <w:r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за октябрь 201</w:t>
      </w:r>
      <w:r>
        <w:rPr>
          <w:color w:val="000000"/>
          <w:sz w:val="28"/>
          <w:szCs w:val="28"/>
        </w:rPr>
        <w:t>9</w:t>
      </w:r>
      <w:r w:rsidRPr="00B9642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>
        <w:rPr>
          <w:color w:val="000000"/>
          <w:sz w:val="28"/>
          <w:szCs w:val="28"/>
        </w:rPr>
        <w:t>по кругу</w:t>
      </w:r>
      <w:r>
        <w:rPr>
          <w:color w:val="000000"/>
          <w:sz w:val="28"/>
          <w:szCs w:val="28"/>
        </w:rPr>
        <w:t xml:space="preserve"> обследованных организаций составила 3</w:t>
      </w:r>
      <w:r>
        <w:rPr>
          <w:color w:val="000000"/>
          <w:sz w:val="28"/>
          <w:szCs w:val="28"/>
        </w:rPr>
        <w:t>8356</w:t>
      </w:r>
      <w:r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D92B76">
        <w:rPr>
          <w:color w:val="000000"/>
          <w:sz w:val="28"/>
          <w:szCs w:val="28"/>
        </w:rPr>
        <w:t>.</w:t>
      </w:r>
    </w:p>
    <w:p w:rsidR="00A35954" w:rsidRDefault="004901D9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По укрупненным профессиональным группам (группам занятий) наибольшая заработная плата отмечена в группе «</w:t>
      </w:r>
      <w:r>
        <w:rPr>
          <w:color w:val="000000"/>
          <w:sz w:val="28"/>
          <w:szCs w:val="28"/>
        </w:rPr>
        <w:t>Р</w:t>
      </w:r>
      <w:r w:rsidRPr="00B96427">
        <w:rPr>
          <w:color w:val="000000"/>
          <w:sz w:val="28"/>
          <w:szCs w:val="28"/>
        </w:rPr>
        <w:t xml:space="preserve">уководители» – </w:t>
      </w:r>
      <w:r>
        <w:rPr>
          <w:color w:val="000000"/>
          <w:sz w:val="28"/>
          <w:szCs w:val="28"/>
        </w:rPr>
        <w:br/>
        <w:t>6</w:t>
      </w:r>
      <w:r>
        <w:rPr>
          <w:color w:val="000000"/>
          <w:sz w:val="28"/>
          <w:szCs w:val="28"/>
        </w:rPr>
        <w:t>5557</w:t>
      </w:r>
      <w:r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рублей, наименьшая – в группе «</w:t>
      </w:r>
      <w:r>
        <w:rPr>
          <w:color w:val="000000"/>
          <w:sz w:val="28"/>
          <w:szCs w:val="28"/>
        </w:rPr>
        <w:t xml:space="preserve">Работники сферы обслуживания </w:t>
      </w:r>
      <w:r>
        <w:rPr>
          <w:color w:val="000000"/>
          <w:sz w:val="28"/>
          <w:szCs w:val="28"/>
        </w:rPr>
        <w:br/>
        <w:t>и торговли, охра</w:t>
      </w:r>
      <w:r>
        <w:rPr>
          <w:color w:val="000000"/>
          <w:sz w:val="28"/>
          <w:szCs w:val="28"/>
        </w:rPr>
        <w:t>ны граждан и собственности</w:t>
      </w:r>
      <w:r w:rsidRPr="00B9642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</w:t>
      </w:r>
      <w:r w:rsidRPr="00C751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2432</w:t>
      </w:r>
      <w:r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я).</w:t>
      </w:r>
    </w:p>
    <w:p w:rsidR="00EA4C37" w:rsidRPr="00AD3CE9" w:rsidRDefault="004901D9" w:rsidP="00EA4C3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BE10F7" w:rsidRDefault="004901D9" w:rsidP="007F2BE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редняя начисленная заработная плата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работников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за октябрь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  <w:bookmarkStart w:id="0" w:name="_GoBack"/>
      <w:bookmarkEnd w:id="0"/>
    </w:p>
    <w:p w:rsidR="00F6025F" w:rsidRPr="00F6025F" w:rsidRDefault="004901D9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(рублей)</w:t>
      </w:r>
    </w:p>
    <w:p w:rsidR="00BE10F7" w:rsidRPr="00E217F2" w:rsidRDefault="004901D9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FB3659" w:rsidRDefault="004901D9" w:rsidP="00A35954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  <w:sectPr w:rsidR="00FB3659" w:rsidSect="00B7307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438900" cy="26670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183C" w:rsidRDefault="004901D9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Средняя з</w:t>
      </w:r>
      <w:r w:rsidRPr="00B96427">
        <w:rPr>
          <w:color w:val="000000"/>
          <w:sz w:val="28"/>
          <w:szCs w:val="28"/>
        </w:rPr>
        <w:t>аработная плата работников организаций негосударственн</w:t>
      </w:r>
      <w:r>
        <w:rPr>
          <w:color w:val="000000"/>
          <w:sz w:val="28"/>
          <w:szCs w:val="28"/>
        </w:rPr>
        <w:t>ых</w:t>
      </w:r>
      <w:r w:rsidRPr="00B96427">
        <w:rPr>
          <w:color w:val="000000"/>
          <w:sz w:val="28"/>
          <w:szCs w:val="28"/>
        </w:rPr>
        <w:t xml:space="preserve"> форм собственности </w:t>
      </w:r>
      <w:r>
        <w:rPr>
          <w:color w:val="000000"/>
          <w:sz w:val="28"/>
          <w:szCs w:val="28"/>
        </w:rPr>
        <w:t>во всех</w:t>
      </w:r>
      <w:r w:rsidRPr="00B96427">
        <w:rPr>
          <w:color w:val="000000"/>
          <w:sz w:val="28"/>
          <w:szCs w:val="28"/>
        </w:rPr>
        <w:t xml:space="preserve"> укрупненных групп</w:t>
      </w:r>
      <w:r>
        <w:rPr>
          <w:color w:val="000000"/>
          <w:sz w:val="28"/>
          <w:szCs w:val="28"/>
        </w:rPr>
        <w:t>ах</w:t>
      </w:r>
      <w:r w:rsidRPr="00B96427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 xml:space="preserve">, кроме служащих, занятых подготовкой и оформлением документации, учетом и обслуживанием, </w:t>
      </w:r>
      <w:r>
        <w:rPr>
          <w:color w:val="000000"/>
          <w:sz w:val="28"/>
          <w:szCs w:val="28"/>
        </w:rPr>
        <w:br/>
        <w:t>и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B96427">
        <w:rPr>
          <w:color w:val="000000"/>
          <w:sz w:val="28"/>
          <w:szCs w:val="28"/>
        </w:rPr>
        <w:t>валифицированны</w:t>
      </w:r>
      <w:r>
        <w:rPr>
          <w:color w:val="000000"/>
          <w:sz w:val="28"/>
          <w:szCs w:val="28"/>
        </w:rPr>
        <w:t>х</w:t>
      </w:r>
      <w:r w:rsidRPr="00B96427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ов</w:t>
      </w:r>
      <w:r w:rsidRPr="00B9642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и</w:t>
      </w:r>
      <w:r w:rsidRPr="00B96427">
        <w:rPr>
          <w:color w:val="000000"/>
          <w:sz w:val="28"/>
          <w:szCs w:val="28"/>
        </w:rPr>
        <w:t xml:space="preserve"> лесного хозяйств</w:t>
      </w:r>
      <w:r>
        <w:rPr>
          <w:color w:val="000000"/>
          <w:sz w:val="28"/>
          <w:szCs w:val="28"/>
        </w:rPr>
        <w:t>а</w:t>
      </w:r>
      <w:r w:rsidRPr="00B96427">
        <w:rPr>
          <w:color w:val="000000"/>
          <w:sz w:val="28"/>
          <w:szCs w:val="28"/>
        </w:rPr>
        <w:t xml:space="preserve">, рыбоводства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и рыболовства</w:t>
      </w:r>
      <w:r>
        <w:rPr>
          <w:color w:val="000000"/>
          <w:sz w:val="28"/>
          <w:szCs w:val="28"/>
        </w:rPr>
        <w:t xml:space="preserve">, </w:t>
      </w:r>
      <w:r w:rsidRPr="00B96427">
        <w:rPr>
          <w:color w:val="000000"/>
          <w:sz w:val="28"/>
          <w:szCs w:val="28"/>
        </w:rPr>
        <w:t>заметно превышала заработную плату аналогичных профессиональных групп в гос</w:t>
      </w:r>
      <w:r w:rsidRPr="00B96427">
        <w:rPr>
          <w:color w:val="000000"/>
          <w:sz w:val="28"/>
          <w:szCs w:val="28"/>
        </w:rPr>
        <w:t xml:space="preserve">ударственных и муниципальных организациях </w:t>
      </w:r>
      <w:r>
        <w:rPr>
          <w:color w:val="000000"/>
          <w:sz w:val="28"/>
          <w:szCs w:val="28"/>
        </w:rPr>
        <w:br/>
        <w:t>(</w:t>
      </w:r>
      <w:r w:rsidRPr="00B96427">
        <w:rPr>
          <w:color w:val="000000"/>
          <w:sz w:val="28"/>
          <w:szCs w:val="28"/>
        </w:rPr>
        <w:t>в 1,</w:t>
      </w:r>
      <w:r>
        <w:rPr>
          <w:color w:val="000000"/>
          <w:sz w:val="28"/>
          <w:szCs w:val="28"/>
        </w:rPr>
        <w:t>3</w:t>
      </w:r>
      <w:r w:rsidRPr="00B96427">
        <w:rPr>
          <w:color w:val="000000"/>
          <w:sz w:val="28"/>
          <w:szCs w:val="28"/>
        </w:rPr>
        <w:t>-1,</w:t>
      </w:r>
      <w:r>
        <w:rPr>
          <w:color w:val="000000"/>
          <w:sz w:val="28"/>
          <w:szCs w:val="28"/>
        </w:rPr>
        <w:t>5</w:t>
      </w:r>
      <w:r w:rsidRPr="00B96427">
        <w:rPr>
          <w:color w:val="000000"/>
          <w:sz w:val="28"/>
          <w:szCs w:val="28"/>
        </w:rPr>
        <w:t xml:space="preserve"> раза</w:t>
      </w:r>
      <w:r>
        <w:rPr>
          <w:color w:val="000000"/>
          <w:sz w:val="28"/>
          <w:szCs w:val="28"/>
        </w:rPr>
        <w:t xml:space="preserve">). </w:t>
      </w:r>
    </w:p>
    <w:p w:rsidR="00BE10F7" w:rsidRPr="00B96427" w:rsidRDefault="004901D9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96427">
        <w:rPr>
          <w:color w:val="000000"/>
          <w:sz w:val="28"/>
          <w:szCs w:val="28"/>
        </w:rPr>
        <w:t xml:space="preserve"> профессиональн</w:t>
      </w:r>
      <w:r>
        <w:rPr>
          <w:color w:val="000000"/>
          <w:sz w:val="28"/>
          <w:szCs w:val="28"/>
        </w:rPr>
        <w:t>ых</w:t>
      </w:r>
      <w:r w:rsidRPr="00B96427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ах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«Служащие, занятые подготовкой </w:t>
      </w:r>
      <w:r>
        <w:rPr>
          <w:color w:val="000000"/>
          <w:sz w:val="28"/>
          <w:szCs w:val="28"/>
        </w:rPr>
        <w:br/>
        <w:t xml:space="preserve">и оформлением документации, учетом и обслуживанием» </w:t>
      </w:r>
      <w:r>
        <w:rPr>
          <w:color w:val="000000"/>
          <w:sz w:val="28"/>
          <w:szCs w:val="28"/>
        </w:rPr>
        <w:br/>
        <w:t xml:space="preserve">и </w:t>
      </w:r>
      <w:r w:rsidRPr="00B96427">
        <w:rPr>
          <w:color w:val="000000"/>
          <w:sz w:val="28"/>
          <w:szCs w:val="28"/>
        </w:rPr>
        <w:t>«Квалифицированные работники сельского</w:t>
      </w:r>
      <w:r>
        <w:rPr>
          <w:color w:val="000000"/>
          <w:sz w:val="28"/>
          <w:szCs w:val="28"/>
        </w:rPr>
        <w:t xml:space="preserve"> и</w:t>
      </w:r>
      <w:r w:rsidRPr="00B96427">
        <w:rPr>
          <w:color w:val="000000"/>
          <w:sz w:val="28"/>
          <w:szCs w:val="28"/>
        </w:rPr>
        <w:t xml:space="preserve"> лесного хозяйств</w:t>
      </w:r>
      <w:r>
        <w:rPr>
          <w:color w:val="000000"/>
          <w:sz w:val="28"/>
          <w:szCs w:val="28"/>
        </w:rPr>
        <w:t>а</w:t>
      </w:r>
      <w:r w:rsidRPr="00B96427">
        <w:rPr>
          <w:color w:val="000000"/>
          <w:sz w:val="28"/>
          <w:szCs w:val="28"/>
        </w:rPr>
        <w:t>, рыбоводства и рыболо</w:t>
      </w:r>
      <w:r w:rsidRPr="00B96427">
        <w:rPr>
          <w:color w:val="000000"/>
          <w:sz w:val="28"/>
          <w:szCs w:val="28"/>
        </w:rPr>
        <w:t>вства» средняя заработная плата работников организаций государственн</w:t>
      </w:r>
      <w:r>
        <w:rPr>
          <w:color w:val="000000"/>
          <w:sz w:val="28"/>
          <w:szCs w:val="28"/>
        </w:rPr>
        <w:t>ой</w:t>
      </w:r>
      <w:r w:rsidRPr="00B96427">
        <w:rPr>
          <w:color w:val="000000"/>
          <w:sz w:val="28"/>
          <w:szCs w:val="28"/>
        </w:rPr>
        <w:t xml:space="preserve"> и муниципальн</w:t>
      </w:r>
      <w:r>
        <w:rPr>
          <w:color w:val="000000"/>
          <w:sz w:val="28"/>
          <w:szCs w:val="28"/>
        </w:rPr>
        <w:t>ой форм собственности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сложилась</w:t>
      </w:r>
      <w:r w:rsidRPr="00B96427">
        <w:rPr>
          <w:color w:val="000000"/>
          <w:sz w:val="28"/>
          <w:szCs w:val="28"/>
        </w:rPr>
        <w:t xml:space="preserve"> выше,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чем негосударственн</w:t>
      </w:r>
      <w:r>
        <w:rPr>
          <w:color w:val="000000"/>
          <w:sz w:val="28"/>
          <w:szCs w:val="28"/>
        </w:rPr>
        <w:t>ых</w:t>
      </w:r>
      <w:r w:rsidRPr="00B9642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процента и на 5</w:t>
      </w:r>
      <w:r>
        <w:rPr>
          <w:color w:val="000000"/>
          <w:sz w:val="28"/>
          <w:szCs w:val="28"/>
        </w:rPr>
        <w:t>8</w:t>
      </w:r>
      <w:r w:rsidRPr="00B96427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соответственно</w:t>
      </w:r>
      <w:r w:rsidRPr="00B96427">
        <w:rPr>
          <w:color w:val="000000"/>
          <w:sz w:val="28"/>
          <w:szCs w:val="28"/>
        </w:rPr>
        <w:t>.</w:t>
      </w:r>
    </w:p>
    <w:p w:rsidR="00BE10F7" w:rsidRDefault="004901D9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4901D9" w:rsidP="00CC676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Средняя начисленная заработная плата работников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и формам собственности организаций за октябрь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4901D9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1103B9" w:rsidRPr="00EA4C37" w:rsidRDefault="004901D9" w:rsidP="00EA4C3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4901D9" w:rsidP="0020345D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210300" cy="311467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A24" w:rsidRPr="00B85B13" w:rsidRDefault="004901D9" w:rsidP="00B85B13">
      <w:pPr>
        <w:shd w:val="clear" w:color="auto" w:fill="FFFFFF"/>
        <w:spacing w:line="216" w:lineRule="atLeast"/>
        <w:rPr>
          <w:color w:val="000000"/>
          <w:sz w:val="24"/>
          <w:szCs w:val="24"/>
        </w:rPr>
      </w:pPr>
    </w:p>
    <w:p w:rsidR="0029732D" w:rsidRDefault="004901D9" w:rsidP="00B85B13">
      <w:pPr>
        <w:shd w:val="clear" w:color="auto" w:fill="FFFFFF"/>
        <w:spacing w:line="216" w:lineRule="atLeast"/>
        <w:rPr>
          <w:color w:val="000000"/>
          <w:sz w:val="24"/>
          <w:szCs w:val="24"/>
        </w:rPr>
      </w:pPr>
    </w:p>
    <w:p w:rsidR="009F4CEA" w:rsidRDefault="004901D9" w:rsidP="0029732D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B7307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D9" w:rsidRDefault="004901D9" w:rsidP="005B466F">
      <w:r>
        <w:separator/>
      </w:r>
    </w:p>
  </w:endnote>
  <w:endnote w:type="continuationSeparator" w:id="0">
    <w:p w:rsidR="004901D9" w:rsidRDefault="004901D9" w:rsidP="005B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24" w:rsidRPr="008F2BAA" w:rsidRDefault="004901D9" w:rsidP="008F2BAA">
    <w:pPr>
      <w:jc w:val="both"/>
      <w:rPr>
        <w:rFonts w:eastAsia="MS Mincho"/>
      </w:rPr>
    </w:pPr>
    <w:r w:rsidRPr="008F2BAA">
      <w:rPr>
        <w:rFonts w:eastAsia="MS Mincho"/>
        <w:vertAlign w:val="superscript"/>
      </w:rPr>
      <w:t>1)</w:t>
    </w:r>
    <w:r w:rsidRPr="008F2BAA">
      <w:rPr>
        <w:rFonts w:eastAsia="MS Mincho"/>
      </w:rPr>
      <w:t xml:space="preserve"> </w:t>
    </w:r>
    <w:r w:rsidRPr="00E6633F">
      <w:t>По организациям</w:t>
    </w:r>
    <w:r w:rsidRPr="00D05250">
      <w:t xml:space="preserve">, не относящимся к </w:t>
    </w:r>
    <w:r w:rsidRPr="00D05250">
      <w:t>субъектам малого предпринимательства, средняя численность работников которых превышает 15 человек</w:t>
    </w:r>
    <w:r>
      <w:t>,</w:t>
    </w:r>
    <w:r w:rsidRPr="00D05250">
      <w:t xml:space="preserve"> </w:t>
    </w:r>
    <w:r>
      <w:t>осуществляющим все виды экономической деятельности, кроме финансовой и страховой деятельности; государственного управления и обеспечения военной безопасности</w:t>
    </w:r>
    <w:r>
      <w:t>; деятельности общественных и экстерриториальных организаций.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24" w:rsidRDefault="004901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D9" w:rsidRDefault="004901D9" w:rsidP="005B466F">
      <w:r>
        <w:separator/>
      </w:r>
    </w:p>
  </w:footnote>
  <w:footnote w:type="continuationSeparator" w:id="0">
    <w:p w:rsidR="004901D9" w:rsidRDefault="004901D9" w:rsidP="005B4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80187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AA6B90E" w:tentative="1">
      <w:start w:val="1"/>
      <w:numFmt w:val="lowerLetter"/>
      <w:lvlText w:val="%2."/>
      <w:lvlJc w:val="left"/>
      <w:pPr>
        <w:ind w:left="1789" w:hanging="360"/>
      </w:pPr>
    </w:lvl>
    <w:lvl w:ilvl="2" w:tplc="DE0C0138" w:tentative="1">
      <w:start w:val="1"/>
      <w:numFmt w:val="lowerRoman"/>
      <w:lvlText w:val="%3."/>
      <w:lvlJc w:val="right"/>
      <w:pPr>
        <w:ind w:left="2509" w:hanging="180"/>
      </w:pPr>
    </w:lvl>
    <w:lvl w:ilvl="3" w:tplc="11C4D494" w:tentative="1">
      <w:start w:val="1"/>
      <w:numFmt w:val="decimal"/>
      <w:lvlText w:val="%4."/>
      <w:lvlJc w:val="left"/>
      <w:pPr>
        <w:ind w:left="3229" w:hanging="360"/>
      </w:pPr>
    </w:lvl>
    <w:lvl w:ilvl="4" w:tplc="BA387F14" w:tentative="1">
      <w:start w:val="1"/>
      <w:numFmt w:val="lowerLetter"/>
      <w:lvlText w:val="%5."/>
      <w:lvlJc w:val="left"/>
      <w:pPr>
        <w:ind w:left="3949" w:hanging="360"/>
      </w:pPr>
    </w:lvl>
    <w:lvl w:ilvl="5" w:tplc="9992F29A" w:tentative="1">
      <w:start w:val="1"/>
      <w:numFmt w:val="lowerRoman"/>
      <w:lvlText w:val="%6."/>
      <w:lvlJc w:val="right"/>
      <w:pPr>
        <w:ind w:left="4669" w:hanging="180"/>
      </w:pPr>
    </w:lvl>
    <w:lvl w:ilvl="6" w:tplc="B062441A" w:tentative="1">
      <w:start w:val="1"/>
      <w:numFmt w:val="decimal"/>
      <w:lvlText w:val="%7."/>
      <w:lvlJc w:val="left"/>
      <w:pPr>
        <w:ind w:left="5389" w:hanging="360"/>
      </w:pPr>
    </w:lvl>
    <w:lvl w:ilvl="7" w:tplc="EF5094BA" w:tentative="1">
      <w:start w:val="1"/>
      <w:numFmt w:val="lowerLetter"/>
      <w:lvlText w:val="%8."/>
      <w:lvlJc w:val="left"/>
      <w:pPr>
        <w:ind w:left="6109" w:hanging="360"/>
      </w:pPr>
    </w:lvl>
    <w:lvl w:ilvl="8" w:tplc="30A8F52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8EF49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285B28" w:tentative="1">
      <w:start w:val="1"/>
      <w:numFmt w:val="lowerLetter"/>
      <w:lvlText w:val="%2."/>
      <w:lvlJc w:val="left"/>
      <w:pPr>
        <w:ind w:left="1440" w:hanging="360"/>
      </w:pPr>
    </w:lvl>
    <w:lvl w:ilvl="2" w:tplc="A3AC9C88" w:tentative="1">
      <w:start w:val="1"/>
      <w:numFmt w:val="lowerRoman"/>
      <w:lvlText w:val="%3."/>
      <w:lvlJc w:val="right"/>
      <w:pPr>
        <w:ind w:left="2160" w:hanging="180"/>
      </w:pPr>
    </w:lvl>
    <w:lvl w:ilvl="3" w:tplc="A0D6B21E" w:tentative="1">
      <w:start w:val="1"/>
      <w:numFmt w:val="decimal"/>
      <w:lvlText w:val="%4."/>
      <w:lvlJc w:val="left"/>
      <w:pPr>
        <w:ind w:left="2880" w:hanging="360"/>
      </w:pPr>
    </w:lvl>
    <w:lvl w:ilvl="4" w:tplc="D7F8E312" w:tentative="1">
      <w:start w:val="1"/>
      <w:numFmt w:val="lowerLetter"/>
      <w:lvlText w:val="%5."/>
      <w:lvlJc w:val="left"/>
      <w:pPr>
        <w:ind w:left="3600" w:hanging="360"/>
      </w:pPr>
    </w:lvl>
    <w:lvl w:ilvl="5" w:tplc="B33A4652" w:tentative="1">
      <w:start w:val="1"/>
      <w:numFmt w:val="lowerRoman"/>
      <w:lvlText w:val="%6."/>
      <w:lvlJc w:val="right"/>
      <w:pPr>
        <w:ind w:left="4320" w:hanging="180"/>
      </w:pPr>
    </w:lvl>
    <w:lvl w:ilvl="6" w:tplc="3740064A" w:tentative="1">
      <w:start w:val="1"/>
      <w:numFmt w:val="decimal"/>
      <w:lvlText w:val="%7."/>
      <w:lvlJc w:val="left"/>
      <w:pPr>
        <w:ind w:left="5040" w:hanging="360"/>
      </w:pPr>
    </w:lvl>
    <w:lvl w:ilvl="7" w:tplc="C7940AD8" w:tentative="1">
      <w:start w:val="1"/>
      <w:numFmt w:val="lowerLetter"/>
      <w:lvlText w:val="%8."/>
      <w:lvlJc w:val="left"/>
      <w:pPr>
        <w:ind w:left="5760" w:hanging="360"/>
      </w:pPr>
    </w:lvl>
    <w:lvl w:ilvl="8" w:tplc="5DC0E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76309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D30BCF6" w:tentative="1">
      <w:start w:val="1"/>
      <w:numFmt w:val="lowerLetter"/>
      <w:lvlText w:val="%2."/>
      <w:lvlJc w:val="left"/>
      <w:pPr>
        <w:ind w:left="1789" w:hanging="360"/>
      </w:pPr>
    </w:lvl>
    <w:lvl w:ilvl="2" w:tplc="9AC60720" w:tentative="1">
      <w:start w:val="1"/>
      <w:numFmt w:val="lowerRoman"/>
      <w:lvlText w:val="%3."/>
      <w:lvlJc w:val="right"/>
      <w:pPr>
        <w:ind w:left="2509" w:hanging="180"/>
      </w:pPr>
    </w:lvl>
    <w:lvl w:ilvl="3" w:tplc="C11E35B8" w:tentative="1">
      <w:start w:val="1"/>
      <w:numFmt w:val="decimal"/>
      <w:lvlText w:val="%4."/>
      <w:lvlJc w:val="left"/>
      <w:pPr>
        <w:ind w:left="3229" w:hanging="360"/>
      </w:pPr>
    </w:lvl>
    <w:lvl w:ilvl="4" w:tplc="4AC4D178" w:tentative="1">
      <w:start w:val="1"/>
      <w:numFmt w:val="lowerLetter"/>
      <w:lvlText w:val="%5."/>
      <w:lvlJc w:val="left"/>
      <w:pPr>
        <w:ind w:left="3949" w:hanging="360"/>
      </w:pPr>
    </w:lvl>
    <w:lvl w:ilvl="5" w:tplc="A50C53A0" w:tentative="1">
      <w:start w:val="1"/>
      <w:numFmt w:val="lowerRoman"/>
      <w:lvlText w:val="%6."/>
      <w:lvlJc w:val="right"/>
      <w:pPr>
        <w:ind w:left="4669" w:hanging="180"/>
      </w:pPr>
    </w:lvl>
    <w:lvl w:ilvl="6" w:tplc="A49095C8" w:tentative="1">
      <w:start w:val="1"/>
      <w:numFmt w:val="decimal"/>
      <w:lvlText w:val="%7."/>
      <w:lvlJc w:val="left"/>
      <w:pPr>
        <w:ind w:left="5389" w:hanging="360"/>
      </w:pPr>
    </w:lvl>
    <w:lvl w:ilvl="7" w:tplc="9BAECA42" w:tentative="1">
      <w:start w:val="1"/>
      <w:numFmt w:val="lowerLetter"/>
      <w:lvlText w:val="%8."/>
      <w:lvlJc w:val="left"/>
      <w:pPr>
        <w:ind w:left="6109" w:hanging="360"/>
      </w:pPr>
    </w:lvl>
    <w:lvl w:ilvl="8" w:tplc="DD409DA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66F"/>
    <w:rsid w:val="004901D9"/>
    <w:rsid w:val="005B466F"/>
    <w:rsid w:val="0061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5.1123639130907575E-3"/>
          <c:y val="5.7397151198796972E-2"/>
          <c:w val="0.99488763608690922"/>
          <c:h val="0.42187069312965347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3"/>
              <c:layout>
                <c:manualLayout>
                  <c:x val="2.390278992903666E-3"/>
                  <c:y val="1.877044939275064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3438279006333085E-3"/>
                  <c:y val="1.078011636378155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442308759736129E-4"/>
                  <c:y val="1.517249192771770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1457541191381567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65557</c:v>
                </c:pt>
                <c:pt idx="1">
                  <c:v>37782</c:v>
                </c:pt>
                <c:pt idx="2">
                  <c:v>37505</c:v>
                </c:pt>
                <c:pt idx="3">
                  <c:v>32245</c:v>
                </c:pt>
                <c:pt idx="4">
                  <c:v>22432</c:v>
                </c:pt>
                <c:pt idx="5">
                  <c:v>30432</c:v>
                </c:pt>
                <c:pt idx="6">
                  <c:v>44285</c:v>
                </c:pt>
                <c:pt idx="7">
                  <c:v>43373</c:v>
                </c:pt>
                <c:pt idx="8">
                  <c:v>23074</c:v>
                </c:pt>
              </c:numCache>
            </c:numRef>
          </c:val>
        </c:ser>
        <c:gapWidth val="156"/>
        <c:axId val="50113152"/>
        <c:axId val="51299840"/>
      </c:barChart>
      <c:catAx>
        <c:axId val="50113152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1299840"/>
        <c:crosses val="autoZero"/>
        <c:auto val="1"/>
        <c:lblAlgn val="ctr"/>
        <c:lblOffset val="100"/>
      </c:catAx>
      <c:valAx>
        <c:axId val="51299840"/>
        <c:scaling>
          <c:orientation val="minMax"/>
        </c:scaling>
        <c:delete val="1"/>
        <c:axPos val="l"/>
        <c:numFmt formatCode="General" sourceLinked="1"/>
        <c:tickLblPos val="none"/>
        <c:crossAx val="501131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1.4445356907073732E-2"/>
          <c:y val="4.8561969954760746E-2"/>
          <c:w val="0.97633093409336102"/>
          <c:h val="0.44220224684303799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</c:v>
                </c:pt>
              </c:strCache>
            </c:strRef>
          </c:tx>
          <c:dLbls>
            <c:dLbl>
              <c:idx val="0"/>
              <c:layout>
                <c:manualLayout>
                  <c:x val="-1.2506642191198477E-2"/>
                  <c:y val="1.37585565623392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9960019990005359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9950024987506825E-3"/>
                  <c:y val="7.24619422572180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9950082926750731E-3"/>
                  <c:y val="5.183245737314665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9960710432668627E-3"/>
                  <c:y val="1.19191919191919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45150797868061E-3"/>
                  <c:y val="-1.108266112212747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9950082926750731E-3"/>
                  <c:y val="-1.199451838431667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9489557670321676E-3"/>
                  <c:y val="7.8787878787878827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9030642642063023E-3"/>
                  <c:y val="1.1780800127256854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54974</c:v>
                </c:pt>
                <c:pt idx="1">
                  <c:v>35825</c:v>
                </c:pt>
                <c:pt idx="2">
                  <c:v>34682</c:v>
                </c:pt>
                <c:pt idx="3">
                  <c:v>33816</c:v>
                </c:pt>
                <c:pt idx="4">
                  <c:v>20055</c:v>
                </c:pt>
                <c:pt idx="5">
                  <c:v>32068</c:v>
                </c:pt>
                <c:pt idx="6">
                  <c:v>32400</c:v>
                </c:pt>
                <c:pt idx="7">
                  <c:v>32402</c:v>
                </c:pt>
                <c:pt idx="8">
                  <c:v>20886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Негосударственная</c:v>
                </c:pt>
              </c:strCache>
            </c:strRef>
          </c:tx>
          <c:dLbls>
            <c:dLbl>
              <c:idx val="3"/>
              <c:layout>
                <c:manualLayout>
                  <c:x val="1.0224948875255624E-2"/>
                  <c:y val="-3.7376394592352471E-17"/>
                </c:manualLayout>
              </c:layout>
              <c:showVal val="1"/>
            </c:dLbl>
            <c:dLbl>
              <c:idx val="5"/>
              <c:layout>
                <c:manualLayout>
                  <c:x val="1.4176770848429224E-2"/>
                  <c:y val="4.9467685732437587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418439716312056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79815</c:v>
                </c:pt>
                <c:pt idx="1">
                  <c:v>48601</c:v>
                </c:pt>
                <c:pt idx="2">
                  <c:v>43602</c:v>
                </c:pt>
                <c:pt idx="3">
                  <c:v>28323</c:v>
                </c:pt>
                <c:pt idx="4">
                  <c:v>29145</c:v>
                </c:pt>
                <c:pt idx="5">
                  <c:v>20297</c:v>
                </c:pt>
                <c:pt idx="6">
                  <c:v>47040</c:v>
                </c:pt>
                <c:pt idx="7">
                  <c:v>48157</c:v>
                </c:pt>
                <c:pt idx="8">
                  <c:v>29302</c:v>
                </c:pt>
              </c:numCache>
            </c:numRef>
          </c:val>
        </c:ser>
        <c:gapWidth val="56"/>
        <c:axId val="100957184"/>
        <c:axId val="100487552"/>
      </c:barChart>
      <c:catAx>
        <c:axId val="100957184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0487552"/>
        <c:crosses val="autoZero"/>
        <c:auto val="1"/>
        <c:lblAlgn val="ctr"/>
        <c:lblOffset val="100"/>
      </c:catAx>
      <c:valAx>
        <c:axId val="100487552"/>
        <c:scaling>
          <c:orientation val="minMax"/>
        </c:scaling>
        <c:delete val="1"/>
        <c:axPos val="l"/>
        <c:numFmt formatCode="General" sourceLinked="1"/>
        <c:tickLblPos val="none"/>
        <c:crossAx val="100957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034858002300278"/>
          <c:w val="0.99983978229715154"/>
          <c:h val="9.6378238823689233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0.01252</cdr:x>
      <cdr:y>0.23288</cdr:y>
    </cdr:from>
    <cdr:to>
      <cdr:x>1</cdr:x>
      <cdr:y>0.23288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>
          <a:off x="80615" y="621095"/>
          <a:ext cx="6358285" cy="0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0.86254</cdr:x>
      <cdr:y>0</cdr:y>
    </cdr:from>
    <cdr:to>
      <cdr:x>1</cdr:x>
      <cdr:y>0.19567</cdr:y>
    </cdr:to>
    <cdr:sp macro="" textlink="">
      <cdr:nvSpPr>
        <cdr:cNvPr id="7" name="Скругленная прямоугольная выноска 6"/>
        <cdr:cNvSpPr>
          <a:spLocks xmlns:a="http://schemas.openxmlformats.org/drawingml/2006/main" noChangeAspect="1"/>
        </cdr:cNvSpPr>
      </cdr:nvSpPr>
      <cdr:spPr>
        <a:xfrm xmlns:a="http://schemas.openxmlformats.org/drawingml/2006/main">
          <a:off x="5553809" y="0"/>
          <a:ext cx="885091" cy="521845"/>
        </a:xfrm>
        <a:prstGeom xmlns:a="http://schemas.openxmlformats.org/drawingml/2006/main" prst="wedgeRoundRectCallout">
          <a:avLst>
            <a:gd name="adj1" fmla="val 3559"/>
            <a:gd name="adj2" fmla="val 69477"/>
            <a:gd name="adj3" fmla="val 16667"/>
          </a:avLst>
        </a:prstGeom>
        <a:noFill xmlns:a="http://schemas.openxmlformats.org/drawingml/2006/main"/>
        <a:ln xmlns:a="http://schemas.openxmlformats.org/drawingml/2006/main" w="9525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0" tIns="0" rIns="0" bIns="0" anchor="ctr" anchorCtr="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в среднем </a:t>
          </a:r>
          <a:b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</a:br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по всем категориям (38356)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17D5-55B2-46E5-97EA-B74AA8A5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5</cp:revision>
  <cp:lastPrinted>2020-08-13T09:46:00Z</cp:lastPrinted>
  <dcterms:created xsi:type="dcterms:W3CDTF">2020-08-13T08:50:00Z</dcterms:created>
  <dcterms:modified xsi:type="dcterms:W3CDTF">2020-08-14T08:51:00Z</dcterms:modified>
</cp:coreProperties>
</file>